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77FA" w:rsidRPr="00AC221F" w:rsidRDefault="004277FA" w:rsidP="00676274">
      <w:pPr>
        <w:pStyle w:val="a5"/>
        <w:shd w:val="clear" w:color="auto" w:fill="FFFFFF"/>
        <w:spacing w:before="0" w:beforeAutospacing="0" w:after="0" w:afterAutospacing="0" w:line="360" w:lineRule="auto"/>
        <w:jc w:val="center"/>
        <w:rPr>
          <w:rFonts w:ascii="微软雅黑" w:eastAsia="微软雅黑" w:hAnsi="微软雅黑"/>
          <w:b/>
          <w:color w:val="000000"/>
          <w:sz w:val="36"/>
          <w:szCs w:val="36"/>
          <w:shd w:val="clear" w:color="auto" w:fill="FFFFFF"/>
        </w:rPr>
      </w:pPr>
      <w:bookmarkStart w:id="0" w:name="_GoBack"/>
      <w:r w:rsidRPr="00AC221F">
        <w:rPr>
          <w:rFonts w:ascii="微软雅黑" w:eastAsia="微软雅黑" w:hAnsi="微软雅黑" w:hint="eastAsia"/>
          <w:b/>
          <w:color w:val="000000"/>
          <w:sz w:val="36"/>
          <w:szCs w:val="36"/>
          <w:shd w:val="clear" w:color="auto" w:fill="FFFFFF"/>
        </w:rPr>
        <w:t>关于办好新时代职业教育的十条意见</w:t>
      </w:r>
      <w:bookmarkEnd w:id="0"/>
    </w:p>
    <w:p w:rsidR="004277FA" w:rsidRPr="00676274" w:rsidRDefault="004277FA" w:rsidP="00676274">
      <w:pPr>
        <w:pStyle w:val="a5"/>
        <w:shd w:val="clear" w:color="auto" w:fill="FFFFFF"/>
        <w:spacing w:before="0" w:beforeAutospacing="0" w:after="0" w:afterAutospacing="0" w:line="360" w:lineRule="auto"/>
        <w:jc w:val="center"/>
        <w:rPr>
          <w:rFonts w:ascii="微软雅黑" w:eastAsia="微软雅黑" w:hAnsi="微软雅黑"/>
          <w:color w:val="000000"/>
          <w:sz w:val="28"/>
          <w:szCs w:val="28"/>
        </w:rPr>
      </w:pPr>
    </w:p>
    <w:p w:rsidR="004277FA"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b/>
          <w:color w:val="000000"/>
          <w:sz w:val="28"/>
          <w:szCs w:val="28"/>
        </w:rPr>
      </w:pPr>
      <w:r w:rsidRPr="00676274">
        <w:rPr>
          <w:rFonts w:ascii="微软雅黑" w:eastAsia="微软雅黑" w:hAnsi="微软雅黑" w:hint="eastAsia"/>
          <w:b/>
          <w:color w:val="000000"/>
          <w:sz w:val="28"/>
          <w:szCs w:val="28"/>
        </w:rPr>
        <w:t>一、创建山东省国家职业教育创新发展试验区</w:t>
      </w:r>
    </w:p>
    <w:p w:rsidR="00672F7F"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将职业教育摆在现代化教育强省和经济文化强省建设的大格局中系统谋划布局，紧紧围绕破解制约职业教育改革发展的深层次体制机制障碍和突出矛盾，推动省部共建山东省国家职业教育创新发展试验区，在职业教育考试招生、人才培养、“双师型”队伍、产教融合、办学制度、保障机制、管理体制、服务现代化经济体系等方面，先行先试，为全国创造可复制、可借鉴、可推广的经验做法，建设职业教育制度创新高地。</w:t>
      </w:r>
    </w:p>
    <w:p w:rsidR="00672F7F"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着力调动各地、各职业院校创新发展的积极性和主动性，建立创新发展激励机制，将各地、各职业院校创新发展情况作为职业教育省级重点项目支持的重要因素，遴选一批职业教育发展基础好、改革创新意识强的市、县（市、区），省地共建省级职业教育创新发展试验区，支持青岛市、潍坊市建设职业教育创新发展示范区，为全省职业教育改革发展探索新路径、提供新样板。</w:t>
      </w:r>
    </w:p>
    <w:p w:rsidR="004277FA"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b/>
          <w:color w:val="000000"/>
          <w:sz w:val="28"/>
          <w:szCs w:val="28"/>
        </w:rPr>
      </w:pPr>
      <w:r w:rsidRPr="00676274">
        <w:rPr>
          <w:rFonts w:ascii="微软雅黑" w:eastAsia="微软雅黑" w:hAnsi="微软雅黑" w:hint="eastAsia"/>
          <w:b/>
          <w:color w:val="000000"/>
          <w:sz w:val="28"/>
          <w:szCs w:val="28"/>
        </w:rPr>
        <w:t>二、优化改进职业教育考试招生制度</w:t>
      </w:r>
    </w:p>
    <w:p w:rsidR="00672F7F"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按照有利于选拔和培养高素质技术技能人才原则，加快推进高校分类考试招生，使春季高考成为技术技能人才选拔的主渠道,本科招生计划安排逐步达到应用型本科高校本科招生计划的30%，为职业院校学生提供更多升入应用型本科高校机会；科学调整并细化春季高考专业类目；分专业类目组建技能测试项目库，明确技能测试收费标</w:t>
      </w:r>
      <w:r w:rsidRPr="00676274">
        <w:rPr>
          <w:rFonts w:ascii="微软雅黑" w:eastAsia="微软雅黑" w:hAnsi="微软雅黑" w:hint="eastAsia"/>
          <w:color w:val="000000"/>
          <w:sz w:val="28"/>
          <w:szCs w:val="28"/>
        </w:rPr>
        <w:lastRenderedPageBreak/>
        <w:t>准，强化测试内容的技术性、综合性和随机性；适时调整考试科目分值，提高专业知识和技能测试分值比重；制定具体措施，建立职业院校学生参加国家、省、市职业院校技能大赛获奖等级与技能测试成绩挂钩的赋分体系；从2022年起，春季高考统一考试招生报考人员为中等职业教育应届毕业生，社会人员报考应取得高中阶段教育毕业证书或具有同等学力；非山东户籍高中阶段学生参加春季统一考试招生应为进城务工人员子女；加强春季高考考点尤其是专业技能考点基础能力建设，提升考试保障和服务水平。</w:t>
      </w:r>
    </w:p>
    <w:p w:rsidR="00672F7F"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优化改进专升本考试制度，加强过程考核，从2020年起，依据学生高职（专科）在校期间的综合素质测评成绩设置报名条件。</w:t>
      </w:r>
    </w:p>
    <w:p w:rsidR="00672F7F"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优化招生录取结构，逐步调减公办本科高校举办高职（专科）教育的校数和招生规模，公办本科高校稳步有序停办高职（专科）教育。</w:t>
      </w:r>
      <w:r w:rsidR="00672F7F" w:rsidRPr="00676274">
        <w:rPr>
          <w:rFonts w:ascii="微软雅黑" w:eastAsia="微软雅黑" w:hAnsi="微软雅黑" w:hint="eastAsia"/>
          <w:color w:val="000000"/>
          <w:sz w:val="28"/>
          <w:szCs w:val="28"/>
        </w:rPr>
        <w:t xml:space="preserve">    </w:t>
      </w:r>
    </w:p>
    <w:p w:rsidR="004277FA"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b/>
          <w:color w:val="000000"/>
          <w:sz w:val="28"/>
          <w:szCs w:val="28"/>
        </w:rPr>
      </w:pPr>
      <w:r w:rsidRPr="00676274">
        <w:rPr>
          <w:rFonts w:ascii="微软雅黑" w:eastAsia="微软雅黑" w:hAnsi="微软雅黑" w:hint="eastAsia"/>
          <w:b/>
          <w:color w:val="000000"/>
          <w:sz w:val="28"/>
          <w:szCs w:val="28"/>
        </w:rPr>
        <w:t>三、系统构建从中职、专科、职业教育本科、应用型本科到专业学位研究生的培养体系</w:t>
      </w:r>
    </w:p>
    <w:p w:rsidR="00672F7F"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根据经济社会发展对技术技能人才需求，系统规划职业教育培养体系，扎实推进包括技工院校学历教育在内的中职与高职、中职与本科、高职与本科、本科与专业学位研究生衔接，推动中职、高职、职业教育本科、应用型本科、专业学位研究生教育联合培养技术技能人才，为学生多样化选择、多路径成才搭建“立交桥”。</w:t>
      </w:r>
    </w:p>
    <w:p w:rsidR="00672F7F"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畅通中职学校毕业生进入高职院校、职业院校毕业生进入本科高校渠道，鼓励高等学校根据专业人才培养定位和规格，积极招收职业</w:t>
      </w:r>
      <w:r w:rsidRPr="00676274">
        <w:rPr>
          <w:rFonts w:ascii="微软雅黑" w:eastAsia="微软雅黑" w:hAnsi="微软雅黑" w:hint="eastAsia"/>
          <w:color w:val="000000"/>
          <w:sz w:val="28"/>
          <w:szCs w:val="28"/>
        </w:rPr>
        <w:lastRenderedPageBreak/>
        <w:t>院校毕业生，高等学校招收职业院校毕业生的比例逐年提高，吸引更多优秀学生主动学习技术技能。</w:t>
      </w:r>
    </w:p>
    <w:p w:rsidR="00672F7F"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鼓励支持高职院校辐射带动更多中职学校，继续稳步扩大初中后五年制高等职业教育办学规模，遴选一批职业院校专门举办五年制高等职业教育。</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制定具体措施，建立优质本科高校参与春季高考招生和“3+2”“3+4”对口贯通分段培养的激励机制及责任机制，对相关本科高校试点专业给予经费支持，并根据试点本科高校需要科学合理扩大学校招生计划总规模；按照教学规律和人才成长规律，优化改进“3+2”对口贯通分段培养模式，探索“2+3”（2年本科、3年高职）、“2+2+1”（2年本科、2年高职、1年本科）、“1+2+2”（1年本科、2年高职、2年本科）等模式；探索在国家示范（骨干）高职院校、省优质高职院校的特色专业举办四年制本科职业教育或“3+2”试点5年全部在相应高职院校培养，支持高职院校深度参与专业学位研究生教育实践培养环节。</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承担国家试点，探索实施“学历证书+若干专业能力证书（1+X）”证书制度，为职业院校学生拓展就业创业本领提供支持。</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优化高中阶段教育结构，推进普通高中与中职学校学分互认、学籍互转，遴选具备条件的学校开展综合高中试点，支持学生自主选择发展方向，推动高中阶段教育特色化、多样化发展，为学生从初中毕业开始选择适合的教育类型提供支持。</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lastRenderedPageBreak/>
        <w:t>承担国家试点，借鉴德国、瑞士、奥地利应用技术大学和台湾科技大学办学模式，以新设本科院校、独立学院和优质高职院校为主体，积极探索建设应用技术大学，支持引导有条件的普通本科院校向应用型转型发展。</w:t>
      </w:r>
    </w:p>
    <w:p w:rsidR="004277FA"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b/>
          <w:color w:val="000000"/>
          <w:sz w:val="28"/>
          <w:szCs w:val="28"/>
        </w:rPr>
      </w:pPr>
      <w:r w:rsidRPr="00676274">
        <w:rPr>
          <w:rFonts w:ascii="微软雅黑" w:eastAsia="微软雅黑" w:hAnsi="微软雅黑" w:hint="eastAsia"/>
          <w:b/>
          <w:color w:val="000000"/>
          <w:sz w:val="28"/>
          <w:szCs w:val="28"/>
        </w:rPr>
        <w:t>四、健全德技并修、工学结合的高素质技术技能人才育人机制</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坚持立德树人，增强学生可持续发展能力，着力培养学生的科学人文素养、工匠精神、职业道德、职业技能和就业创业能力。</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坚持标准引领，健全职业教育教学标准，主动对接产业发展、技术进步和流程再造，到2020年，修订、开发400个左右专业教学标准，形成既分层分类、又系统衔接的职业教育教学体系。</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制定深化职业教育教学改革意见，启动课程改革攻坚战，推进“课堂革命”，推动学校全面落实国家和省课程标准，开齐课程、开足课时，大力推进做中学做中教、育训结合，深化创新创业教育改革，促进学以致用、用以促学、学用相长。</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探索建立“学分银行”，在中职学校探索实施学分制改革；全面推进高职院校学分制改革，到2020年，全省高职院校全面推行学分制。</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实施德技双优“齐鲁工匠后备人才”培育工程，从2018年起，用5年时间培养10万名左右“齐鲁工匠后备人才”。</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统筹推进精品资源共享课、教学资源库、优质教材、教改立项、教学成果、实训基地等一系列职业教育质量工程项目建设。制定职业院校教学用书管理实施细则，健全以省为主统筹管理，市级教育行政</w:t>
      </w:r>
      <w:r w:rsidRPr="00676274">
        <w:rPr>
          <w:rFonts w:ascii="微软雅黑" w:eastAsia="微软雅黑" w:hAnsi="微软雅黑" w:hint="eastAsia"/>
          <w:color w:val="000000"/>
          <w:sz w:val="28"/>
          <w:szCs w:val="28"/>
        </w:rPr>
        <w:lastRenderedPageBreak/>
        <w:t>部门、高等职业院校分别组织选用中、高职教材的工作机制，确保教材质量。</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深入推进中职学生综合素质评价制度，从2020级新生起，推行“文化素质+专业技能”中职学业水平考试制度，对学生思想品德、学业成绩、身心健康、兴趣特长、社会实践等进行全面科学评价。</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分专业制定职业教育培训标准，支持引导职业院校紧紧围绕乡村振兴、经略海洋、军民融合和新旧动能转换重大工程，提升职业培训能力，主动承担涉农涉海培训和因去产能、淘汰落后产能产生的转岗培训及企业转型升级产生的技术技能提升培训，以及对未升学初高中毕业生、退役军人、农民工、失业人员、中小微企业员工、残疾人等群体的培训，建设高素质劳动者大军。</w:t>
      </w:r>
    </w:p>
    <w:p w:rsidR="004277FA"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b/>
          <w:color w:val="000000"/>
          <w:sz w:val="28"/>
          <w:szCs w:val="28"/>
        </w:rPr>
      </w:pPr>
      <w:r w:rsidRPr="00676274">
        <w:rPr>
          <w:rFonts w:ascii="微软雅黑" w:eastAsia="微软雅黑" w:hAnsi="微软雅黑" w:hint="eastAsia"/>
          <w:b/>
          <w:color w:val="000000"/>
          <w:sz w:val="28"/>
          <w:szCs w:val="28"/>
        </w:rPr>
        <w:t>五、建设全国一流的职业院校和专业（群）</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在各类规划中充分考虑技术技能人才需求，同步规划职业教育发展，着力营造包括技工教育在内的职业教育、普通教育平等发展环境，健全与区域经济社会发展紧密对接的学校和专业布局结构，支持以设区的市为单位，统筹规划市域内职业院校布局调整、专业设置、实训基地、师资队伍建设、人才培养等，统筹各类职业教育资源，与区域产业对接，实现差异化、特色化发展。</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优化职业院校区域布局结构，实施职业院校水平提升工程，以设区的市为单位制定5年实施方案，明确路线图，提升职业院校整体办学水平；推进省示范性及优质特色中职学校建设工程、优质高职院校</w:t>
      </w:r>
      <w:r w:rsidRPr="00676274">
        <w:rPr>
          <w:rFonts w:ascii="微软雅黑" w:eastAsia="微软雅黑" w:hAnsi="微软雅黑" w:hint="eastAsia"/>
          <w:color w:val="000000"/>
          <w:sz w:val="28"/>
          <w:szCs w:val="28"/>
        </w:rPr>
        <w:lastRenderedPageBreak/>
        <w:t>建设工程，建设100所左右示范性及优质特色中职学校、30所左右优质高职院校,争创中国特色高水平职业院校。</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健全专业设置与调控机制，建立专业设置“负面清单”和信息发布制度，定期发布职业院校专业结构与产业结构吻合度状况报告，研究探索以专业评估结果为基础的职业院校排名机制，健全人力资源统计、预测、供求信息发布制度，重点建设新兴产业相关专业，着力升级改造传统产业相关专业，扶持农林牧渔地矿油和涉海类等艰苦专业，引导职业院校建立紧密对接产业链、创新链的专业体系，全省建设200个左右中职品牌专业、200个左右高职品牌专业群，争创中国特色高水平专业（群）。</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加快推进职业教育信息化，全面推进数字化校园建设，支持建设一批职业教育信息化创新与改革试点学校、试点区域；以课程资源为核心，建设山东省职业教育教学资源共享平台，推动优质资源跨区域、跨学校共建共享，逐步实现所有专业优质数字教育资源全覆盖。</w:t>
      </w:r>
    </w:p>
    <w:p w:rsidR="004277FA"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b/>
          <w:color w:val="000000"/>
          <w:sz w:val="28"/>
          <w:szCs w:val="28"/>
        </w:rPr>
      </w:pPr>
      <w:r w:rsidRPr="00676274">
        <w:rPr>
          <w:rFonts w:ascii="微软雅黑" w:eastAsia="微软雅黑" w:hAnsi="微软雅黑" w:hint="eastAsia"/>
          <w:b/>
          <w:color w:val="000000"/>
          <w:sz w:val="28"/>
          <w:szCs w:val="28"/>
        </w:rPr>
        <w:t>六、构建产教深度融合、校企合作办学长效机制</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制定校企合作推进办法，加快构建政府、行业、企业、学校、社会协同推进的工作格局。</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制定产教融合行动计划实施方案，争取山东省及8个左右城市、10所左右高职院校、80所左右中职学校及部分职教集团、企业成为国家职业教育“十百千”产教融合试点，试点企业兴办职业教育的投资符合条件的，可按国家有关规定享受优惠政策。</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lastRenderedPageBreak/>
        <w:t>落实校企合作办学财税激励政策和收费政策，鼓励支持企业在职业院校建设生产性实训基地，职业院校依托企业生产车间等实训资源建设二级学院（系）；从2019年起，市、县级人民政府设立职业教育发展资金，建立接收学生实习实训成本补偿机制，将规模以上企业接收学生实习实训和开展职业教育情况纳入企业社会责任报告，规模以上企业按职工总数的2%安排实习岗位接纳职业院校学生实习；支持建设校企一体化合作办学示范校和企业，对成效突出、示范作用强的项目，给予一定奖励，并将其作为企业评优评先、项目资助的重要依据；全面推进现代学徒制和企业新型学徒制，建设一批骨干职业教育集团。</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制定政策措施，允许职业院校面向社会提供有偿服务，开展有偿服务所得收入、校办产业年度利润等收入可用于单位绩效工资发放；职业院校开展生产服务性实习实训取得的勤工俭学收入可提取一定比例支付学生劳动报酬；职业院校教师根据相关规定取得的科技成果转化现金奖励计入当年本单位绩效工资总量，但不受总量控制，不作为调控基数。</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制定推进职业院校混合所有制改革指导意见，鼓励社会力量通过独资、合资、合作等形式举办或参与举办职业教育，允许社会力量通过购买、承租、委托管理等方式改造办学活力不足的公办职业院校，鼓励举办混合所有制性质的二级学院。</w:t>
      </w:r>
    </w:p>
    <w:p w:rsidR="004277FA"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b/>
          <w:color w:val="000000"/>
          <w:sz w:val="28"/>
          <w:szCs w:val="28"/>
        </w:rPr>
      </w:pPr>
      <w:r w:rsidRPr="00676274">
        <w:rPr>
          <w:rFonts w:ascii="微软雅黑" w:eastAsia="微软雅黑" w:hAnsi="微软雅黑" w:hint="eastAsia"/>
          <w:b/>
          <w:color w:val="000000"/>
          <w:sz w:val="28"/>
          <w:szCs w:val="28"/>
        </w:rPr>
        <w:t>七、建设高水平“双师型”师资队伍</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lastRenderedPageBreak/>
        <w:t>在高职院校和公益二类中职学校实行人员控制总量备案管理，财政部门依据机构编制部门核定的人员控制总量，按人员控制总量内实有人数核拨经费，确保学校人员工资按时足额拨付。</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落实职业院校用人自主权，在机构编制、人力资源社会保障、教育以及其他有关主管部门的指导、监督下，职业院校按照有关规定自主制订单位内部人事管理制度，自主管理岗位设置，自主安排、执行用人计划，自主公开招聘各类人才，自主组织竞聘上岗和人员聘用管理，自主确定本单位绩效工资分配方式。</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健全职业院校教师自主招聘制度，专业教师招聘以测试专业技能和执教能力为主，可采取考察的方式招聘高水平技能人才；允许教学急需但没有教师资格证的专业人才参加学校招聘，合格的先作为兼职教师使用，待取得教师资格证后再转为正式教师；支持学校引进行业企业一流人才和具有创新实践经验的企业管理专家、科技人才、技能人才等担任产业教授，财政参照高级专业技术职务人员平均薪酬水平确定经费拨付标准，或按照项目工资制、年薪制拨付薪酬。</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实施职业院校教师素质提高计划，推进齐鲁名师名校长建设工程、青年技能名师建设计划，培育一批专业（学科）骨干带头人、教学能手、教学名师、教学团队和职教名家，完善职业院校教师技能大赛制度和教学能力大赛制度，造就一批职业教育领军人物。</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创造条件建设独立设置的职业技术师范院校，鼓励支持具备条件的本科高校和高职院校设立职业技术师范二级学院，培养职教师资。</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lastRenderedPageBreak/>
        <w:t>推进非营利性民办职业院校教师养老保险与公办学校教师同等待遇试点，当地财政部门应充分考虑学校缴费规模，对试点学校给予适当补助。</w:t>
      </w:r>
    </w:p>
    <w:p w:rsidR="004277FA"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b/>
          <w:color w:val="000000"/>
          <w:sz w:val="28"/>
          <w:szCs w:val="28"/>
        </w:rPr>
      </w:pPr>
      <w:r w:rsidRPr="00676274">
        <w:rPr>
          <w:rFonts w:ascii="微软雅黑" w:eastAsia="微软雅黑" w:hAnsi="微软雅黑" w:hint="eastAsia"/>
          <w:b/>
          <w:color w:val="000000"/>
          <w:sz w:val="28"/>
          <w:szCs w:val="28"/>
        </w:rPr>
        <w:t>八、建立与办学规模和培养要求相适应的财政投入制度</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建立稳定长效投入机制，坚持新增教育经费向职业教育倾斜，进一步加大职业教育投入，逐步提高生均经费拨款水平，切实保障学校办学经费，继续加强对职业教育办学条件改善和内涵建设的支持力度，探索实施“基本保障+发展专项+绩效奖励”的财政拨款方式。</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全面落实中职学校生均经费拨款标准，确保旅游服务类（不含烹饪专业）、财经商贸类、休闲保健类、教育类、司法服务类、公共管理与服务类专业，每生每年2800元；农林牧渔类、资源环境类、能源与新能源类、土木水利类、加工制造类、电工电子类、石油化工类、轻纺食品类、交通运输类、信息技术类专业，每生每年3300元；体育与健身类、医药卫生类专业，每生每年3900元；文化艺术类专业、旅游服务类的烹饪专业，每生每年4500元。</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全面落实高职院校生均拨款标准，确保公办高职高专院校生均拨款达到1.2万元以上，并适时提高和实行差异化拨款，形成奖优扶优、支持特色发展的机制。</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落实教育费附加不低于30%和地方教育附加不低于30%用于职业教育政策，向社会公开使用情况。</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lastRenderedPageBreak/>
        <w:t>建立市、县级人民政府职业教育经费投入绩效评价、审计公告、预决算公开制度，并将各地生均拨款标准落实情况与省级奖补资金、项目安排、招生计划下达相挂钩。</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制定具体实施意见，对不按规定提取和使用教育培训经费并拒不改正的企业，由各级政府依法收取企业应当承担的职业教育经费，统筹用于本地区的职业教育。</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鼓励企业、个人等社会力量捐资、出资举办职业教育，拓宽办学筹资渠道。化解公办职业院校债务。</w:t>
      </w:r>
    </w:p>
    <w:p w:rsidR="004277FA"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b/>
          <w:color w:val="000000"/>
          <w:sz w:val="28"/>
          <w:szCs w:val="28"/>
        </w:rPr>
      </w:pPr>
      <w:r w:rsidRPr="00676274">
        <w:rPr>
          <w:rFonts w:ascii="微软雅黑" w:eastAsia="微软雅黑" w:hAnsi="微软雅黑" w:hint="eastAsia"/>
          <w:b/>
          <w:color w:val="000000"/>
          <w:sz w:val="28"/>
          <w:szCs w:val="28"/>
        </w:rPr>
        <w:t>九、进一步提升职业教育对外开放水平</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依托山东与澳大利亚南澳州、德国巴伐利亚州、德国赛德尔基金会、德国手工业者协会、德国焊接协会和鲁台职业教育交流与合作研讨活动等交流合作平台，支持职业院校有计划地学习和引进国际先进、成熟适用的人才培养标准、专业课程、教材体系和数字化教育资源，与海外高水平院校建立一对一合作关系，举办合作办学项目，系统学习先进办学模式，建设海外职业教育师资培训基地等。</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推动高水平职业院校主动服务“一带一路”倡议，支持职业院校发起成立“一带一路”职业教育国际联盟，在沿线国家建立办学机构、研发机构，与沿线国家职业院校联合举办高水平职业技能大赛，接收沿线国家学生来我省职业院校留学，支持承揽海外大型工程的企业与职业院校联合建立国际化人才培养基地，加快培养适应我省企业走出去要求的技术技能人才。</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lastRenderedPageBreak/>
        <w:t>落实《中共中央办公厅国务院办公厅转发中央组织部、中央外办等部门&lt;关于加强和改进教学科研人员因公临时出国管理工作的指导意见&gt;的通知》（厅字〔2016〕17号）规定，优化审批程序，对教学科研人员因公临时出国实行区别管理，鼓励支持职业院校教学科研人员更广泛地参加国际学术交流与合作。</w:t>
      </w:r>
    </w:p>
    <w:p w:rsidR="004277FA"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b/>
          <w:color w:val="000000"/>
          <w:sz w:val="28"/>
          <w:szCs w:val="28"/>
        </w:rPr>
      </w:pPr>
      <w:r w:rsidRPr="00676274">
        <w:rPr>
          <w:rFonts w:ascii="微软雅黑" w:eastAsia="微软雅黑" w:hAnsi="微软雅黑" w:hint="eastAsia"/>
          <w:b/>
          <w:color w:val="000000"/>
          <w:sz w:val="28"/>
          <w:szCs w:val="28"/>
        </w:rPr>
        <w:t>十、营造有利于职业教育改革发展的良好环境氛围</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修订《山东省职业教育条例》。</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加强督查考核，落实“职业教育与普通教育是两种不同教育类型，具有同等重要地位”的要求，夯实大力发展职业教育的责任，将职业教育作为对市、县级人民政府履行教育职责评价的重要内容，评价结果作为对市、县级人民政府及其有关部门领导班子和领导干部进行考核、奖惩的重要依据。</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组建山东省职业教育改革发展战略咨询委员会，进一步提升职业教育重大决策的科学性。</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加强职业院校领导班子建设，按照社会主义政治家、教育家要求配强职业院校领导班子；加强干部资源统筹，加大高职院校正职交流使用力度。</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加强各级职业教育教学研究队伍建设，鼓励支持聘请一线优秀教师担任兼职教研员，形成专兼结合、动态管理的教研员队伍。对促进职业教育发展的单位和个人，按照有关规定给予表彰奖励；健全教学成果和科研成果奖励制度。完善技术工人培养、评价、使用、激励、</w:t>
      </w:r>
      <w:r w:rsidRPr="00676274">
        <w:rPr>
          <w:rFonts w:ascii="微软雅黑" w:eastAsia="微软雅黑" w:hAnsi="微软雅黑" w:hint="eastAsia"/>
          <w:color w:val="000000"/>
          <w:sz w:val="28"/>
          <w:szCs w:val="28"/>
        </w:rPr>
        <w:lastRenderedPageBreak/>
        <w:t>保障机制，实现技高者多得、多劳者多得，切实提高技术技能人才的社会地位和待遇。</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创造平等就业环境，消除城乡、行业、身份、性别等一切影响平等就业的制度障碍，在落户、就业、机关事业单位招聘、职称评审、职级晋升等方面不得歧视职业院校毕业生。</w:t>
      </w:r>
    </w:p>
    <w:p w:rsidR="004146E8"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组建山东省技术技能大师库，鼓励技术技能大师建立工作室。办好工匠和劳模精神大讲堂活动，邀请具有高尚品德、精湛技艺的劳动模范、技能大师、能工巧匠进校园、进课堂，引导学生科学规划职业生涯。</w:t>
      </w:r>
    </w:p>
    <w:p w:rsidR="004048C0" w:rsidRPr="00676274" w:rsidRDefault="004277FA" w:rsidP="00676274">
      <w:pPr>
        <w:pStyle w:val="a5"/>
        <w:shd w:val="clear" w:color="auto" w:fill="FFFFFF"/>
        <w:spacing w:before="0" w:beforeAutospacing="0" w:after="0" w:afterAutospacing="0" w:line="360" w:lineRule="auto"/>
        <w:ind w:firstLine="480"/>
        <w:rPr>
          <w:rFonts w:ascii="微软雅黑" w:eastAsia="微软雅黑" w:hAnsi="微软雅黑"/>
          <w:color w:val="000000"/>
          <w:sz w:val="28"/>
          <w:szCs w:val="28"/>
        </w:rPr>
      </w:pPr>
      <w:r w:rsidRPr="00676274">
        <w:rPr>
          <w:rFonts w:ascii="微软雅黑" w:eastAsia="微软雅黑" w:hAnsi="微软雅黑" w:hint="eastAsia"/>
          <w:color w:val="000000"/>
          <w:sz w:val="28"/>
          <w:szCs w:val="28"/>
        </w:rPr>
        <w:t>办好职业教育活动周，讲好职教故事，传播职教声音，营造人人皆可成才、人人尽展其才的良好环境。</w:t>
      </w:r>
    </w:p>
    <w:sectPr w:rsidR="004048C0" w:rsidRPr="00676274" w:rsidSect="0085434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285B" w:rsidRDefault="000C285B" w:rsidP="004277FA">
      <w:r>
        <w:separator/>
      </w:r>
    </w:p>
  </w:endnote>
  <w:endnote w:type="continuationSeparator" w:id="0">
    <w:p w:rsidR="000C285B" w:rsidRDefault="000C285B" w:rsidP="004277F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285B" w:rsidRDefault="000C285B" w:rsidP="004277FA">
      <w:r>
        <w:separator/>
      </w:r>
    </w:p>
  </w:footnote>
  <w:footnote w:type="continuationSeparator" w:id="0">
    <w:p w:rsidR="000C285B" w:rsidRDefault="000C285B" w:rsidP="004277F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44AAF"/>
    <w:rsid w:val="000C285B"/>
    <w:rsid w:val="004048C0"/>
    <w:rsid w:val="004146E8"/>
    <w:rsid w:val="004277FA"/>
    <w:rsid w:val="00434C41"/>
    <w:rsid w:val="0045650D"/>
    <w:rsid w:val="00672F7F"/>
    <w:rsid w:val="00676274"/>
    <w:rsid w:val="00854343"/>
    <w:rsid w:val="009210E1"/>
    <w:rsid w:val="009A75DA"/>
    <w:rsid w:val="00AC221F"/>
    <w:rsid w:val="00C16815"/>
    <w:rsid w:val="00C8092B"/>
    <w:rsid w:val="00D44AA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434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277F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277FA"/>
    <w:rPr>
      <w:sz w:val="18"/>
      <w:szCs w:val="18"/>
    </w:rPr>
  </w:style>
  <w:style w:type="paragraph" w:styleId="a4">
    <w:name w:val="footer"/>
    <w:basedOn w:val="a"/>
    <w:link w:val="Char0"/>
    <w:uiPriority w:val="99"/>
    <w:unhideWhenUsed/>
    <w:rsid w:val="004277FA"/>
    <w:pPr>
      <w:tabs>
        <w:tab w:val="center" w:pos="4153"/>
        <w:tab w:val="right" w:pos="8306"/>
      </w:tabs>
      <w:snapToGrid w:val="0"/>
      <w:jc w:val="left"/>
    </w:pPr>
    <w:rPr>
      <w:sz w:val="18"/>
      <w:szCs w:val="18"/>
    </w:rPr>
  </w:style>
  <w:style w:type="character" w:customStyle="1" w:styleId="Char0">
    <w:name w:val="页脚 Char"/>
    <w:basedOn w:val="a0"/>
    <w:link w:val="a4"/>
    <w:uiPriority w:val="99"/>
    <w:rsid w:val="004277FA"/>
    <w:rPr>
      <w:sz w:val="18"/>
      <w:szCs w:val="18"/>
    </w:rPr>
  </w:style>
  <w:style w:type="paragraph" w:styleId="a5">
    <w:name w:val="Normal (Web)"/>
    <w:basedOn w:val="a"/>
    <w:uiPriority w:val="99"/>
    <w:unhideWhenUsed/>
    <w:rsid w:val="004277FA"/>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277F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277FA"/>
    <w:rPr>
      <w:sz w:val="18"/>
      <w:szCs w:val="18"/>
    </w:rPr>
  </w:style>
  <w:style w:type="paragraph" w:styleId="a4">
    <w:name w:val="footer"/>
    <w:basedOn w:val="a"/>
    <w:link w:val="Char0"/>
    <w:uiPriority w:val="99"/>
    <w:unhideWhenUsed/>
    <w:rsid w:val="004277FA"/>
    <w:pPr>
      <w:tabs>
        <w:tab w:val="center" w:pos="4153"/>
        <w:tab w:val="right" w:pos="8306"/>
      </w:tabs>
      <w:snapToGrid w:val="0"/>
      <w:jc w:val="left"/>
    </w:pPr>
    <w:rPr>
      <w:sz w:val="18"/>
      <w:szCs w:val="18"/>
    </w:rPr>
  </w:style>
  <w:style w:type="character" w:customStyle="1" w:styleId="Char0">
    <w:name w:val="页脚 Char"/>
    <w:basedOn w:val="a0"/>
    <w:link w:val="a4"/>
    <w:uiPriority w:val="99"/>
    <w:rsid w:val="004277FA"/>
    <w:rPr>
      <w:sz w:val="18"/>
      <w:szCs w:val="18"/>
    </w:rPr>
  </w:style>
  <w:style w:type="paragraph" w:styleId="a5">
    <w:name w:val="Normal (Web)"/>
    <w:basedOn w:val="a"/>
    <w:uiPriority w:val="99"/>
    <w:unhideWhenUsed/>
    <w:rsid w:val="004277FA"/>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4236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12</Pages>
  <Words>958</Words>
  <Characters>5464</Characters>
  <Application>Microsoft Office Word</Application>
  <DocSecurity>0</DocSecurity>
  <Lines>45</Lines>
  <Paragraphs>12</Paragraphs>
  <ScaleCrop>false</ScaleCrop>
  <Company/>
  <LinksUpToDate>false</LinksUpToDate>
  <CharactersWithSpaces>6410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张弘珏</dc:creator>
  <cp:keywords/>
  <dc:description/>
  <cp:lastModifiedBy>Administrator</cp:lastModifiedBy>
  <cp:revision>6</cp:revision>
  <dcterms:created xsi:type="dcterms:W3CDTF">2019-08-19T09:31:00Z</dcterms:created>
  <dcterms:modified xsi:type="dcterms:W3CDTF">2019-09-04T06:46:00Z</dcterms:modified>
</cp:coreProperties>
</file>